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F0EA4" w:rsidRPr="00DF0EA4" w14:paraId="6B824B33" w14:textId="77777777" w:rsidTr="00DF0EA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D4547E" w14:textId="77777777" w:rsidR="00DF0EA4" w:rsidRPr="00DF0EA4" w:rsidRDefault="00DF0EA4" w:rsidP="00DF0EA4">
            <w:pPr>
              <w:rPr>
                <w:rFonts w:ascii="Tahoma" w:hAnsi="Tahoma" w:cs="Tahoma"/>
                <w:sz w:val="20"/>
                <w:szCs w:val="20"/>
              </w:rPr>
            </w:pPr>
            <w:r w:rsidRPr="00DF0EA4">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1BA1309" w14:textId="77777777" w:rsidR="00DF0EA4" w:rsidRPr="00DF0EA4" w:rsidRDefault="00DF0EA4" w:rsidP="00DF0EA4">
            <w:pPr>
              <w:rPr>
                <w:rFonts w:ascii="Tahoma" w:hAnsi="Tahoma" w:cs="Tahoma"/>
                <w:sz w:val="20"/>
                <w:szCs w:val="20"/>
              </w:rPr>
            </w:pPr>
            <w:r w:rsidRPr="00DF0EA4">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A78E8A8" w14:textId="77777777" w:rsidR="00DF0EA4" w:rsidRPr="00DF0EA4" w:rsidRDefault="00DF0EA4" w:rsidP="00DF0EA4">
            <w:pPr>
              <w:rPr>
                <w:rFonts w:ascii="Tahoma" w:hAnsi="Tahoma" w:cs="Tahoma"/>
                <w:sz w:val="20"/>
                <w:szCs w:val="20"/>
              </w:rPr>
            </w:pPr>
            <w:proofErr w:type="gramStart"/>
            <w:r w:rsidRPr="00DF0EA4">
              <w:rPr>
                <w:rFonts w:ascii="Tahoma" w:hAnsi="Tahoma" w:cs="Tahoma"/>
                <w:sz w:val="20"/>
                <w:szCs w:val="20"/>
              </w:rPr>
              <w:t>Sayı :</w:t>
            </w:r>
            <w:proofErr w:type="gramEnd"/>
            <w:r w:rsidRPr="00DF0EA4">
              <w:rPr>
                <w:rFonts w:ascii="Tahoma" w:hAnsi="Tahoma" w:cs="Tahoma"/>
                <w:sz w:val="20"/>
                <w:szCs w:val="20"/>
              </w:rPr>
              <w:t xml:space="preserve"> 32768 </w:t>
            </w:r>
            <w:r w:rsidRPr="00DF0EA4">
              <w:rPr>
                <w:rFonts w:ascii="Tahoma" w:hAnsi="Tahoma" w:cs="Tahoma"/>
                <w:b/>
                <w:bCs/>
                <w:sz w:val="20"/>
                <w:szCs w:val="20"/>
              </w:rPr>
              <w:t>(2. Mükerrer)</w:t>
            </w:r>
          </w:p>
        </w:tc>
      </w:tr>
      <w:tr w:rsidR="00DF0EA4" w:rsidRPr="00DF0EA4" w14:paraId="0EB8509F" w14:textId="77777777" w:rsidTr="00DF0EA4">
        <w:trPr>
          <w:trHeight w:val="480"/>
        </w:trPr>
        <w:tc>
          <w:tcPr>
            <w:tcW w:w="8789" w:type="dxa"/>
            <w:gridSpan w:val="3"/>
            <w:tcMar>
              <w:top w:w="0" w:type="dxa"/>
              <w:left w:w="108" w:type="dxa"/>
              <w:bottom w:w="0" w:type="dxa"/>
              <w:right w:w="108" w:type="dxa"/>
            </w:tcMar>
            <w:vAlign w:val="center"/>
            <w:hideMark/>
          </w:tcPr>
          <w:p w14:paraId="008BD007" w14:textId="77777777" w:rsidR="00DF0EA4" w:rsidRPr="00DF0EA4" w:rsidRDefault="00DF0EA4" w:rsidP="00DF0EA4">
            <w:pPr>
              <w:jc w:val="center"/>
              <w:rPr>
                <w:rFonts w:ascii="Tahoma" w:hAnsi="Tahoma" w:cs="Tahoma"/>
                <w:sz w:val="20"/>
                <w:szCs w:val="20"/>
              </w:rPr>
            </w:pPr>
            <w:r w:rsidRPr="00DF0EA4">
              <w:rPr>
                <w:rFonts w:ascii="Tahoma" w:hAnsi="Tahoma" w:cs="Tahoma"/>
                <w:b/>
                <w:bCs/>
                <w:sz w:val="20"/>
                <w:szCs w:val="20"/>
              </w:rPr>
              <w:t>TEBLİĞ</w:t>
            </w:r>
          </w:p>
        </w:tc>
      </w:tr>
      <w:tr w:rsidR="00DF0EA4" w:rsidRPr="00DF0EA4" w14:paraId="7968E538" w14:textId="77777777" w:rsidTr="00DF0EA4">
        <w:trPr>
          <w:trHeight w:val="480"/>
        </w:trPr>
        <w:tc>
          <w:tcPr>
            <w:tcW w:w="8789" w:type="dxa"/>
            <w:gridSpan w:val="3"/>
            <w:tcMar>
              <w:top w:w="0" w:type="dxa"/>
              <w:left w:w="108" w:type="dxa"/>
              <w:bottom w:w="0" w:type="dxa"/>
              <w:right w:w="108" w:type="dxa"/>
            </w:tcMar>
            <w:vAlign w:val="center"/>
            <w:hideMark/>
          </w:tcPr>
          <w:p w14:paraId="4FF9A074" w14:textId="77777777" w:rsidR="00DF0EA4" w:rsidRPr="00DF0EA4" w:rsidRDefault="00DF0EA4" w:rsidP="00DF0EA4">
            <w:pPr>
              <w:jc w:val="both"/>
              <w:rPr>
                <w:rFonts w:ascii="Tahoma" w:hAnsi="Tahoma" w:cs="Tahoma"/>
                <w:sz w:val="20"/>
                <w:szCs w:val="20"/>
                <w:u w:val="single"/>
              </w:rPr>
            </w:pPr>
            <w:r w:rsidRPr="00DF0EA4">
              <w:rPr>
                <w:rFonts w:ascii="Tahoma" w:hAnsi="Tahoma" w:cs="Tahoma"/>
                <w:sz w:val="20"/>
                <w:szCs w:val="20"/>
                <w:u w:val="single"/>
              </w:rPr>
              <w:t>Hazine ve Maliye Bakanlığı (Gelir İdaresi Başkanlığı)’</w:t>
            </w:r>
            <w:proofErr w:type="spellStart"/>
            <w:r w:rsidRPr="00DF0EA4">
              <w:rPr>
                <w:rFonts w:ascii="Tahoma" w:hAnsi="Tahoma" w:cs="Tahoma"/>
                <w:sz w:val="20"/>
                <w:szCs w:val="20"/>
                <w:u w:val="single"/>
              </w:rPr>
              <w:t>ndan</w:t>
            </w:r>
            <w:proofErr w:type="spellEnd"/>
            <w:r w:rsidRPr="00DF0EA4">
              <w:rPr>
                <w:rFonts w:ascii="Tahoma" w:hAnsi="Tahoma" w:cs="Tahoma"/>
                <w:sz w:val="20"/>
                <w:szCs w:val="20"/>
                <w:u w:val="single"/>
              </w:rPr>
              <w:t>:</w:t>
            </w:r>
          </w:p>
          <w:p w14:paraId="368D6C6D" w14:textId="77777777" w:rsidR="00DF0EA4" w:rsidRPr="00DF0EA4" w:rsidRDefault="00DF0EA4" w:rsidP="00DF0EA4">
            <w:pPr>
              <w:jc w:val="center"/>
              <w:rPr>
                <w:rFonts w:ascii="Tahoma" w:hAnsi="Tahoma" w:cs="Tahoma"/>
                <w:b/>
                <w:bCs/>
                <w:sz w:val="20"/>
                <w:szCs w:val="20"/>
              </w:rPr>
            </w:pPr>
            <w:r w:rsidRPr="00DF0EA4">
              <w:rPr>
                <w:rFonts w:ascii="Tahoma" w:hAnsi="Tahoma" w:cs="Tahoma"/>
                <w:b/>
                <w:bCs/>
                <w:sz w:val="20"/>
                <w:szCs w:val="20"/>
              </w:rPr>
              <w:t>VERASET VE İNTİKAL VERGİSİ KANUNU GENEL TEBLİĞİ</w:t>
            </w:r>
          </w:p>
          <w:p w14:paraId="6A857181" w14:textId="77777777" w:rsidR="00DF0EA4" w:rsidRPr="00DF0EA4" w:rsidRDefault="00DF0EA4" w:rsidP="00DF0EA4">
            <w:pPr>
              <w:jc w:val="center"/>
              <w:rPr>
                <w:rFonts w:ascii="Tahoma" w:hAnsi="Tahoma" w:cs="Tahoma"/>
                <w:b/>
                <w:bCs/>
                <w:sz w:val="20"/>
                <w:szCs w:val="20"/>
              </w:rPr>
            </w:pPr>
            <w:r w:rsidRPr="00DF0EA4">
              <w:rPr>
                <w:rFonts w:ascii="Tahoma" w:hAnsi="Tahoma" w:cs="Tahoma"/>
                <w:b/>
                <w:bCs/>
                <w:sz w:val="20"/>
                <w:szCs w:val="20"/>
              </w:rPr>
              <w:t>(SERİ NO: 56)</w:t>
            </w:r>
          </w:p>
          <w:p w14:paraId="1C604EE3"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Amaç ve kapsam</w:t>
            </w:r>
          </w:p>
          <w:p w14:paraId="35BF18F5"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1-</w:t>
            </w:r>
            <w:r w:rsidRPr="00DF0EA4">
              <w:rPr>
                <w:rFonts w:ascii="Tahoma" w:hAnsi="Tahoma" w:cs="Tahoma"/>
                <w:sz w:val="20"/>
                <w:szCs w:val="20"/>
              </w:rPr>
              <w:t xml:space="preserve"> (1) Bu Tebliğin amacı, 8/6/1959 tarihli ve 7338 sayılı Veraset ve İntikal Vergisi Kanununun </w:t>
            </w:r>
            <w:proofErr w:type="gramStart"/>
            <w:r w:rsidRPr="00DF0EA4">
              <w:rPr>
                <w:rFonts w:ascii="Tahoma" w:hAnsi="Tahoma" w:cs="Tahoma"/>
                <w:sz w:val="20"/>
                <w:szCs w:val="20"/>
              </w:rPr>
              <w:t>4 üncü</w:t>
            </w:r>
            <w:proofErr w:type="gramEnd"/>
            <w:r w:rsidRPr="00DF0EA4">
              <w:rPr>
                <w:rFonts w:ascii="Tahoma" w:hAnsi="Tahoma" w:cs="Tahoma"/>
                <w:sz w:val="20"/>
                <w:szCs w:val="20"/>
              </w:rPr>
              <w:t xml:space="preserve"> maddesinin birinci fıkrasının (b), (d) ve (e) bentlerinde yer alan istisna tutarları ile 16 </w:t>
            </w:r>
            <w:proofErr w:type="spellStart"/>
            <w:r w:rsidRPr="00DF0EA4">
              <w:rPr>
                <w:rFonts w:ascii="Tahoma" w:hAnsi="Tahoma" w:cs="Tahoma"/>
                <w:sz w:val="20"/>
                <w:szCs w:val="20"/>
              </w:rPr>
              <w:t>ncı</w:t>
            </w:r>
            <w:proofErr w:type="spellEnd"/>
            <w:r w:rsidRPr="00DF0EA4">
              <w:rPr>
                <w:rFonts w:ascii="Tahoma" w:hAnsi="Tahoma" w:cs="Tahoma"/>
                <w:sz w:val="20"/>
                <w:szCs w:val="20"/>
              </w:rPr>
              <w:t> maddesinde yer alan vergi tarifesi matrah dilim tutarlarının yeniden değerleme oranında artırılmak suretiyle tespit edilmesidir.</w:t>
            </w:r>
          </w:p>
          <w:p w14:paraId="7F2D3535"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Dayanak</w:t>
            </w:r>
          </w:p>
          <w:p w14:paraId="045F3A07"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2-</w:t>
            </w:r>
            <w:r w:rsidRPr="00DF0EA4">
              <w:rPr>
                <w:rFonts w:ascii="Tahoma" w:hAnsi="Tahoma" w:cs="Tahoma"/>
                <w:sz w:val="20"/>
                <w:szCs w:val="20"/>
              </w:rPr>
              <w:t> (1) Bu Tebliğ, 7338 sayılı Kanunun 4 üncü maddesinin ikinci fıkrası </w:t>
            </w:r>
            <w:proofErr w:type="gramStart"/>
            <w:r w:rsidRPr="00DF0EA4">
              <w:rPr>
                <w:rFonts w:ascii="Tahoma" w:hAnsi="Tahoma" w:cs="Tahoma"/>
                <w:sz w:val="20"/>
                <w:szCs w:val="20"/>
              </w:rPr>
              <w:t>ile  16</w:t>
            </w:r>
            <w:proofErr w:type="gramEnd"/>
            <w:r w:rsidRPr="00DF0EA4">
              <w:rPr>
                <w:rFonts w:ascii="Tahoma" w:hAnsi="Tahoma" w:cs="Tahoma"/>
                <w:sz w:val="20"/>
                <w:szCs w:val="20"/>
              </w:rPr>
              <w:t> </w:t>
            </w:r>
            <w:proofErr w:type="spellStart"/>
            <w:r w:rsidRPr="00DF0EA4">
              <w:rPr>
                <w:rFonts w:ascii="Tahoma" w:hAnsi="Tahoma" w:cs="Tahoma"/>
                <w:sz w:val="20"/>
                <w:szCs w:val="20"/>
              </w:rPr>
              <w:t>ncı</w:t>
            </w:r>
            <w:proofErr w:type="spellEnd"/>
            <w:r w:rsidRPr="00DF0EA4">
              <w:rPr>
                <w:rFonts w:ascii="Tahoma" w:hAnsi="Tahoma" w:cs="Tahoma"/>
                <w:sz w:val="20"/>
                <w:szCs w:val="20"/>
              </w:rPr>
              <w:t> maddesinin üçüncü fıkrasına dayanılarak hazırlanmıştır.</w:t>
            </w:r>
          </w:p>
          <w:p w14:paraId="5441D71D"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Maktu istisna tutarlarının tespiti</w:t>
            </w:r>
          </w:p>
          <w:p w14:paraId="7CE652B1"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3-</w:t>
            </w:r>
            <w:r w:rsidRPr="00DF0EA4">
              <w:rPr>
                <w:rFonts w:ascii="Tahoma" w:hAnsi="Tahoma" w:cs="Tahoma"/>
                <w:sz w:val="20"/>
                <w:szCs w:val="20"/>
              </w:rPr>
              <w:t xml:space="preserve"> (1) 7338 sayılı Kanunun </w:t>
            </w:r>
            <w:proofErr w:type="gramStart"/>
            <w:r w:rsidRPr="00DF0EA4">
              <w:rPr>
                <w:rFonts w:ascii="Tahoma" w:hAnsi="Tahoma" w:cs="Tahoma"/>
                <w:sz w:val="20"/>
                <w:szCs w:val="20"/>
              </w:rPr>
              <w:t>4 üncü</w:t>
            </w:r>
            <w:proofErr w:type="gramEnd"/>
            <w:r w:rsidRPr="00DF0EA4">
              <w:rPr>
                <w:rFonts w:ascii="Tahoma" w:hAnsi="Tahoma" w:cs="Tahoma"/>
                <w:sz w:val="20"/>
                <w:szCs w:val="20"/>
              </w:rPr>
              <w:t xml:space="preserve"> maddesinin ikinci fıkrasında, “(b), (d) ve (e) bentlerine göre, her bir takvim yılında uygulanacak istisna hadleri, önceki yılda uygulanan istisna hadlerine bu yıla ilişkin olarak Vergi Usul Kanunu hükümleri uyarınca belirlenen yeniden değerleme oranında artış yapılmak suretiyle tespit olunur. Artırım sırasında 1 milyon liraya kadar olan tutarlar dikkate alınmaz.” hükmüne yer verilmiştir.</w:t>
            </w:r>
          </w:p>
          <w:p w14:paraId="2AFF445E"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 xml:space="preserve">(2) Bakanlığımızca 2024 yılı için yeniden değerleme oranı </w:t>
            </w:r>
            <w:proofErr w:type="gramStart"/>
            <w:r w:rsidRPr="00DF0EA4">
              <w:rPr>
                <w:rFonts w:ascii="Tahoma" w:hAnsi="Tahoma" w:cs="Tahoma"/>
                <w:sz w:val="20"/>
                <w:szCs w:val="20"/>
              </w:rPr>
              <w:t>% 43,93</w:t>
            </w:r>
            <w:proofErr w:type="gramEnd"/>
            <w:r w:rsidRPr="00DF0EA4">
              <w:rPr>
                <w:rFonts w:ascii="Tahoma" w:hAnsi="Tahoma" w:cs="Tahoma"/>
                <w:sz w:val="20"/>
                <w:szCs w:val="20"/>
              </w:rPr>
              <w:t xml:space="preserve"> (kırk üç virgül doksan üç) olarak tespit edilmiş ve 27/11/2024 tarihli ve 32735 sayılı Resmî Gazete’de yayımlanan Vergi Usul Kanunu Genel Tebliği (Sıra No: 574) ile ilan edilmiş bulunmaktadır.</w:t>
            </w:r>
          </w:p>
          <w:p w14:paraId="1DEE8B90"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 xml:space="preserve">(3) Buna göre, 1/1/2025 tarihinden itibaren 7338 sayılı Kanunun </w:t>
            </w:r>
            <w:proofErr w:type="gramStart"/>
            <w:r w:rsidRPr="00DF0EA4">
              <w:rPr>
                <w:rFonts w:ascii="Tahoma" w:hAnsi="Tahoma" w:cs="Tahoma"/>
                <w:sz w:val="20"/>
                <w:szCs w:val="20"/>
              </w:rPr>
              <w:t>4 üncü</w:t>
            </w:r>
            <w:proofErr w:type="gramEnd"/>
            <w:r w:rsidRPr="00DF0EA4">
              <w:rPr>
                <w:rFonts w:ascii="Tahoma" w:hAnsi="Tahoma" w:cs="Tahoma"/>
                <w:sz w:val="20"/>
                <w:szCs w:val="20"/>
              </w:rPr>
              <w:t xml:space="preserve"> maddesinin birinci fıkrasının (b), (d) ve (e) bentlerinde yer alan istisna tutarları;</w:t>
            </w:r>
          </w:p>
          <w:p w14:paraId="636CDCBE"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 Evlatlıklar dâhil, </w:t>
            </w:r>
            <w:proofErr w:type="spellStart"/>
            <w:r w:rsidRPr="00DF0EA4">
              <w:rPr>
                <w:rFonts w:ascii="Tahoma" w:hAnsi="Tahoma" w:cs="Tahoma"/>
                <w:sz w:val="20"/>
                <w:szCs w:val="20"/>
              </w:rPr>
              <w:t>füruğ</w:t>
            </w:r>
            <w:proofErr w:type="spellEnd"/>
            <w:r w:rsidRPr="00DF0EA4">
              <w:rPr>
                <w:rFonts w:ascii="Tahoma" w:hAnsi="Tahoma" w:cs="Tahoma"/>
                <w:sz w:val="20"/>
                <w:szCs w:val="20"/>
              </w:rPr>
              <w:t> ve eşten her birine isabet eden miras hisselerinde 2.316.628 TL (</w:t>
            </w:r>
            <w:proofErr w:type="spellStart"/>
            <w:r w:rsidRPr="00DF0EA4">
              <w:rPr>
                <w:rFonts w:ascii="Tahoma" w:hAnsi="Tahoma" w:cs="Tahoma"/>
                <w:sz w:val="20"/>
                <w:szCs w:val="20"/>
              </w:rPr>
              <w:t>füruğ</w:t>
            </w:r>
            <w:proofErr w:type="spellEnd"/>
            <w:r w:rsidRPr="00DF0EA4">
              <w:rPr>
                <w:rFonts w:ascii="Tahoma" w:hAnsi="Tahoma" w:cs="Tahoma"/>
                <w:sz w:val="20"/>
                <w:szCs w:val="20"/>
              </w:rPr>
              <w:t> bulunmaması halinde eşe isabet eden miras hissesinde 4.636.103 TL),</w:t>
            </w:r>
          </w:p>
          <w:p w14:paraId="625D3F29"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 İvazsız suretle meydana gelen intikallerde 53.339 TL,</w:t>
            </w:r>
          </w:p>
          <w:p w14:paraId="2E4CF571"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 Para ve mal üzerine düzenlenen yarışma ve çekilişler ile 14/3/2007 tarihli ve 5602 sayılı Şans Oyunları Hasılatından Alınan Vergi, Fon ve Payların Düzenlenmesi Hakkında Kanunda tanımlanan şans oyunlarında kazanılan ikramiyelerde 53.339 TL,</w:t>
            </w:r>
          </w:p>
          <w:p w14:paraId="5970B8F4" w14:textId="77777777" w:rsidR="00DF0EA4" w:rsidRPr="00DF0EA4" w:rsidRDefault="00DF0EA4" w:rsidP="00DF0EA4">
            <w:pPr>
              <w:jc w:val="both"/>
              <w:rPr>
                <w:rFonts w:ascii="Tahoma" w:hAnsi="Tahoma" w:cs="Tahoma"/>
                <w:sz w:val="20"/>
                <w:szCs w:val="20"/>
              </w:rPr>
            </w:pPr>
            <w:proofErr w:type="gramStart"/>
            <w:r w:rsidRPr="00DF0EA4">
              <w:rPr>
                <w:rFonts w:ascii="Tahoma" w:hAnsi="Tahoma" w:cs="Tahoma"/>
                <w:sz w:val="20"/>
                <w:szCs w:val="20"/>
              </w:rPr>
              <w:t>olarak</w:t>
            </w:r>
            <w:proofErr w:type="gramEnd"/>
            <w:r w:rsidRPr="00DF0EA4">
              <w:rPr>
                <w:rFonts w:ascii="Tahoma" w:hAnsi="Tahoma" w:cs="Tahoma"/>
                <w:sz w:val="20"/>
                <w:szCs w:val="20"/>
              </w:rPr>
              <w:t> dikkate alınacaktır.</w:t>
            </w:r>
          </w:p>
          <w:p w14:paraId="54745EBA"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Matrah dilim tutarlarının tespiti</w:t>
            </w:r>
          </w:p>
          <w:p w14:paraId="0F62E99A"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4-</w:t>
            </w:r>
            <w:r w:rsidRPr="00DF0EA4">
              <w:rPr>
                <w:rFonts w:ascii="Tahoma" w:hAnsi="Tahoma" w:cs="Tahoma"/>
                <w:sz w:val="20"/>
                <w:szCs w:val="20"/>
              </w:rPr>
              <w:t xml:space="preserve"> (1) 7338 sayılı Kanunun </w:t>
            </w:r>
            <w:proofErr w:type="gramStart"/>
            <w:r w:rsidRPr="00DF0EA4">
              <w:rPr>
                <w:rFonts w:ascii="Tahoma" w:hAnsi="Tahoma" w:cs="Tahoma"/>
                <w:sz w:val="20"/>
                <w:szCs w:val="20"/>
              </w:rPr>
              <w:t>16 </w:t>
            </w:r>
            <w:proofErr w:type="spellStart"/>
            <w:r w:rsidRPr="00DF0EA4">
              <w:rPr>
                <w:rFonts w:ascii="Tahoma" w:hAnsi="Tahoma" w:cs="Tahoma"/>
                <w:sz w:val="20"/>
                <w:szCs w:val="20"/>
              </w:rPr>
              <w:t>ncı</w:t>
            </w:r>
            <w:proofErr w:type="spellEnd"/>
            <w:proofErr w:type="gramEnd"/>
            <w:r w:rsidRPr="00DF0EA4">
              <w:rPr>
                <w:rFonts w:ascii="Tahoma" w:hAnsi="Tahoma" w:cs="Tahoma"/>
                <w:sz w:val="20"/>
                <w:szCs w:val="20"/>
              </w:rPr>
              <w:t> maddesinin üçüncü fıkrasında, “Vergi tarifesinin matrah dilim tutarları, her yıl bir önceki yıla ilişkin olarak Vergi Usul Kanunu uyarınca belirlenen yeniden değerleme oranında artırılmak suretiyle uygulanır. Bu şekilde hesaplanan dilim tutarlarının yüzde 5’ini aşmayan kesirler dikkate alınmaz. ...” hükmüne yer verilmiştir.</w:t>
            </w:r>
          </w:p>
          <w:p w14:paraId="60A87F3A"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(2) Buna göre, 1/1/2025 tarihinden itibaren veraset yoluyla veya ivazsız suretle meydana gelen intikallerde veraset ve intikal vergisi aşağıdaki tarifeye göre hesaplanacaktır.</w:t>
            </w:r>
          </w:p>
          <w:tbl>
            <w:tblPr>
              <w:tblW w:w="8222" w:type="dxa"/>
              <w:jc w:val="center"/>
              <w:tblCellMar>
                <w:left w:w="0" w:type="dxa"/>
                <w:right w:w="0" w:type="dxa"/>
              </w:tblCellMar>
              <w:tblLook w:val="04A0" w:firstRow="1" w:lastRow="0" w:firstColumn="1" w:lastColumn="0" w:noHBand="0" w:noVBand="1"/>
            </w:tblPr>
            <w:tblGrid>
              <w:gridCol w:w="4700"/>
              <w:gridCol w:w="1908"/>
              <w:gridCol w:w="1614"/>
            </w:tblGrid>
            <w:tr w:rsidR="00DF0EA4" w:rsidRPr="00DF0EA4" w14:paraId="77025C9A" w14:textId="77777777">
              <w:trPr>
                <w:trHeight w:val="20"/>
                <w:jc w:val="center"/>
              </w:trPr>
              <w:tc>
                <w:tcPr>
                  <w:tcW w:w="48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5BC72"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lastRenderedPageBreak/>
                    <w:t>Matrah</w:t>
                  </w:r>
                </w:p>
              </w:tc>
              <w:tc>
                <w:tcPr>
                  <w:tcW w:w="3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B3C3A"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Verginin Oranı (%)</w:t>
                  </w:r>
                </w:p>
              </w:tc>
            </w:tr>
            <w:tr w:rsidR="00DF0EA4" w:rsidRPr="00DF0EA4" w14:paraId="3821C5BF"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A7707D" w14:textId="77777777" w:rsidR="00DF0EA4" w:rsidRPr="00DF0EA4" w:rsidRDefault="00DF0EA4" w:rsidP="00DF0EA4">
                  <w:pPr>
                    <w:jc w:val="both"/>
                    <w:rPr>
                      <w:rFonts w:ascii="Tahoma" w:hAnsi="Tahoma" w:cs="Tahoma"/>
                      <w:sz w:val="20"/>
                      <w:szCs w:val="20"/>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22933EA8"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Veraset Yoluyla İntikallerde</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05D7854E"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İvazsız İntikallerde</w:t>
                  </w:r>
                </w:p>
              </w:tc>
            </w:tr>
            <w:tr w:rsidR="00DF0EA4" w:rsidRPr="00DF0EA4" w14:paraId="5F96D4E8" w14:textId="77777777">
              <w:trPr>
                <w:trHeight w:val="20"/>
                <w:jc w:val="center"/>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0403"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İlk                              2.400.000 TL için</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1C228F7B"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1</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74E7117D"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10</w:t>
                  </w:r>
                </w:p>
              </w:tc>
            </w:tr>
            <w:tr w:rsidR="00DF0EA4" w:rsidRPr="00DF0EA4" w14:paraId="2D021FD4" w14:textId="77777777">
              <w:trPr>
                <w:trHeight w:val="20"/>
                <w:jc w:val="center"/>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2A2B8"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Sonra gelen               5.700.000 TL için</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20D94FE7"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3</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4BDB0957"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15</w:t>
                  </w:r>
                </w:p>
              </w:tc>
            </w:tr>
            <w:tr w:rsidR="00DF0EA4" w:rsidRPr="00DF0EA4" w14:paraId="3A5C7256" w14:textId="77777777">
              <w:trPr>
                <w:trHeight w:val="20"/>
                <w:jc w:val="center"/>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BDDF5"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Sonra gelen             12.000.000 TL için</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21CEE6F5"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5</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197F0E83"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20</w:t>
                  </w:r>
                </w:p>
              </w:tc>
            </w:tr>
            <w:tr w:rsidR="00DF0EA4" w:rsidRPr="00DF0EA4" w14:paraId="7A6D295E" w14:textId="77777777">
              <w:trPr>
                <w:trHeight w:val="20"/>
                <w:jc w:val="center"/>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B104F"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Sonra gelen             24.000.000 TL için</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62CD499D"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7</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788DFE99"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25</w:t>
                  </w:r>
                </w:p>
              </w:tc>
            </w:tr>
            <w:tr w:rsidR="00DF0EA4" w:rsidRPr="00DF0EA4" w14:paraId="0DE2EE66" w14:textId="77777777">
              <w:trPr>
                <w:trHeight w:val="20"/>
                <w:jc w:val="center"/>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8E9AB"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Matrahın                  44.100.000 TL’yi aşan bölümü için</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14:paraId="44891BF7"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10</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14:paraId="5B029A36" w14:textId="77777777" w:rsidR="00DF0EA4" w:rsidRPr="00DF0EA4" w:rsidRDefault="00DF0EA4" w:rsidP="00DF0EA4">
                  <w:pPr>
                    <w:jc w:val="both"/>
                    <w:rPr>
                      <w:rFonts w:ascii="Tahoma" w:hAnsi="Tahoma" w:cs="Tahoma"/>
                      <w:sz w:val="20"/>
                      <w:szCs w:val="20"/>
                    </w:rPr>
                  </w:pPr>
                  <w:r w:rsidRPr="00DF0EA4">
                    <w:rPr>
                      <w:rFonts w:ascii="Tahoma" w:hAnsi="Tahoma" w:cs="Tahoma"/>
                      <w:sz w:val="20"/>
                      <w:szCs w:val="20"/>
                    </w:rPr>
                    <w:t>30</w:t>
                  </w:r>
                </w:p>
              </w:tc>
            </w:tr>
          </w:tbl>
          <w:p w14:paraId="55E07E4B"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Yürürlük</w:t>
            </w:r>
          </w:p>
          <w:p w14:paraId="2059E8C7"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5-</w:t>
            </w:r>
            <w:r w:rsidRPr="00DF0EA4">
              <w:rPr>
                <w:rFonts w:ascii="Tahoma" w:hAnsi="Tahoma" w:cs="Tahoma"/>
                <w:sz w:val="20"/>
                <w:szCs w:val="20"/>
              </w:rPr>
              <w:t> (1) Bu Tebliğ 1/1/2025 tarihinde yürürlüğe girer.</w:t>
            </w:r>
          </w:p>
          <w:p w14:paraId="3443D27D"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Yürütme</w:t>
            </w:r>
          </w:p>
          <w:p w14:paraId="28EEE818"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MADDE 6-</w:t>
            </w:r>
            <w:r w:rsidRPr="00DF0EA4">
              <w:rPr>
                <w:rFonts w:ascii="Tahoma" w:hAnsi="Tahoma" w:cs="Tahoma"/>
                <w:sz w:val="20"/>
                <w:szCs w:val="20"/>
              </w:rPr>
              <w:t> (1) Bu Tebliğ hükümlerini Hazine ve Maliye Bakanı yürütür.</w:t>
            </w:r>
          </w:p>
          <w:p w14:paraId="704A9CA9" w14:textId="77777777" w:rsidR="00DF0EA4" w:rsidRPr="00DF0EA4" w:rsidRDefault="00DF0EA4" w:rsidP="00DF0EA4">
            <w:pPr>
              <w:jc w:val="both"/>
              <w:rPr>
                <w:rFonts w:ascii="Tahoma" w:hAnsi="Tahoma" w:cs="Tahoma"/>
                <w:sz w:val="20"/>
                <w:szCs w:val="20"/>
              </w:rPr>
            </w:pPr>
            <w:r w:rsidRPr="00DF0EA4">
              <w:rPr>
                <w:rFonts w:ascii="Tahoma" w:hAnsi="Tahoma" w:cs="Tahoma"/>
                <w:b/>
                <w:bCs/>
                <w:sz w:val="20"/>
                <w:szCs w:val="20"/>
              </w:rPr>
              <w:t> </w:t>
            </w:r>
          </w:p>
        </w:tc>
      </w:tr>
    </w:tbl>
    <w:p w14:paraId="607CA3B0" w14:textId="77777777" w:rsidR="00F40434" w:rsidRPr="00DF0EA4" w:rsidRDefault="00F40434" w:rsidP="00DF0EA4">
      <w:pPr>
        <w:jc w:val="both"/>
        <w:rPr>
          <w:rFonts w:ascii="Tahoma" w:hAnsi="Tahoma" w:cs="Tahoma"/>
          <w:sz w:val="20"/>
          <w:szCs w:val="20"/>
        </w:rPr>
      </w:pPr>
    </w:p>
    <w:sectPr w:rsidR="00F40434" w:rsidRPr="00DF0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A4"/>
    <w:rsid w:val="003068E7"/>
    <w:rsid w:val="004821C1"/>
    <w:rsid w:val="005F324D"/>
    <w:rsid w:val="0068156B"/>
    <w:rsid w:val="00D05408"/>
    <w:rsid w:val="00DF0EA4"/>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42DC"/>
  <w15:chartTrackingRefBased/>
  <w15:docId w15:val="{BAEAF32E-6929-4F02-9FA5-62F25C72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F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F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F0EA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F0EA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F0EA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F0E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F0E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F0E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F0E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0EA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F0EA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F0EA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F0EA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F0EA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F0E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F0E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F0E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F0EA4"/>
    <w:rPr>
      <w:rFonts w:eastAsiaTheme="majorEastAsia" w:cstheme="majorBidi"/>
      <w:color w:val="272727" w:themeColor="text1" w:themeTint="D8"/>
    </w:rPr>
  </w:style>
  <w:style w:type="paragraph" w:styleId="KonuBal">
    <w:name w:val="Title"/>
    <w:basedOn w:val="Normal"/>
    <w:next w:val="Normal"/>
    <w:link w:val="KonuBalChar"/>
    <w:uiPriority w:val="10"/>
    <w:qFormat/>
    <w:rsid w:val="00DF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F0E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F0E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F0E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F0E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F0EA4"/>
    <w:rPr>
      <w:i/>
      <w:iCs/>
      <w:color w:val="404040" w:themeColor="text1" w:themeTint="BF"/>
    </w:rPr>
  </w:style>
  <w:style w:type="paragraph" w:styleId="ListeParagraf">
    <w:name w:val="List Paragraph"/>
    <w:basedOn w:val="Normal"/>
    <w:uiPriority w:val="34"/>
    <w:qFormat/>
    <w:rsid w:val="00DF0EA4"/>
    <w:pPr>
      <w:ind w:left="720"/>
      <w:contextualSpacing/>
    </w:pPr>
  </w:style>
  <w:style w:type="character" w:styleId="GlVurgulama">
    <w:name w:val="Intense Emphasis"/>
    <w:basedOn w:val="VarsaylanParagrafYazTipi"/>
    <w:uiPriority w:val="21"/>
    <w:qFormat/>
    <w:rsid w:val="00DF0EA4"/>
    <w:rPr>
      <w:i/>
      <w:iCs/>
      <w:color w:val="0F4761" w:themeColor="accent1" w:themeShade="BF"/>
    </w:rPr>
  </w:style>
  <w:style w:type="paragraph" w:styleId="GlAlnt">
    <w:name w:val="Intense Quote"/>
    <w:basedOn w:val="Normal"/>
    <w:next w:val="Normal"/>
    <w:link w:val="GlAlntChar"/>
    <w:uiPriority w:val="30"/>
    <w:qFormat/>
    <w:rsid w:val="00DF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F0EA4"/>
    <w:rPr>
      <w:i/>
      <w:iCs/>
      <w:color w:val="0F4761" w:themeColor="accent1" w:themeShade="BF"/>
    </w:rPr>
  </w:style>
  <w:style w:type="character" w:styleId="GlBavuru">
    <w:name w:val="Intense Reference"/>
    <w:basedOn w:val="VarsaylanParagrafYazTipi"/>
    <w:uiPriority w:val="32"/>
    <w:qFormat/>
    <w:rsid w:val="00DF0E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69161">
      <w:bodyDiv w:val="1"/>
      <w:marLeft w:val="0"/>
      <w:marRight w:val="0"/>
      <w:marTop w:val="0"/>
      <w:marBottom w:val="0"/>
      <w:divBdr>
        <w:top w:val="none" w:sz="0" w:space="0" w:color="auto"/>
        <w:left w:val="none" w:sz="0" w:space="0" w:color="auto"/>
        <w:bottom w:val="none" w:sz="0" w:space="0" w:color="auto"/>
        <w:right w:val="none" w:sz="0" w:space="0" w:color="auto"/>
      </w:divBdr>
    </w:div>
    <w:div w:id="20297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2025-01-02T06:35:00Z</dcterms:created>
  <dcterms:modified xsi:type="dcterms:W3CDTF">2025-01-02T06:35:00Z</dcterms:modified>
</cp:coreProperties>
</file>